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752" w14:textId="77777777" w:rsidR="00596BDD" w:rsidRDefault="00596BDD" w:rsidP="003A3B11">
      <w:r>
        <w:t>The Swirl, the Sirens, and Mary’s Song</w:t>
      </w:r>
    </w:p>
    <w:p w14:paraId="3043A13A" w14:textId="1250970A" w:rsidR="00596BDD" w:rsidRDefault="00596BDD" w:rsidP="003A3B11">
      <w:r>
        <w:t>Luke 1:46–55</w:t>
      </w:r>
    </w:p>
    <w:p w14:paraId="6B4A7B4E" w14:textId="37F79609" w:rsidR="003A3B11" w:rsidRPr="003A3B11" w:rsidRDefault="003A3B11" w:rsidP="003A3B11">
      <w:r w:rsidRPr="003A3B11">
        <w:t>Mary sings, “My soul magnifies the Lord,” and to magnify is to make larger. She begins her song with this praise; only after Mary first magnifies the Lord does she then declare “the lowliness" of herself as "God's servant.” She is not belittling herself but praising God. There’s a significant difference, which we must pay attention to as people in power continue to belittle and demean women. Magnifying or enlarging God focuses on God’s unending grace, which, in turn, expands our view, our vision, and our community.</w:t>
      </w:r>
    </w:p>
    <w:p w14:paraId="236947F0" w14:textId="77777777" w:rsidR="003A3B11" w:rsidRPr="003A3B11" w:rsidRDefault="003A3B11" w:rsidP="003A3B11">
      <w:r w:rsidRPr="003A3B11">
        <w:t>For Mary does not stop with her individual experience or personal piety. The mother of our Lord evokes the community of faith. She first mentions Israel and then expands to include “our ancestors” and then “Abraham’s descendants forever.” She transcends not only her people but also time and space. She magnifies God as the ruler of all and not only of her country or religion.</w:t>
      </w:r>
    </w:p>
    <w:p w14:paraId="442D7BBD" w14:textId="04534FF1" w:rsidR="00F64D3B" w:rsidRPr="003A3B11" w:rsidRDefault="003A3B11" w:rsidP="003A3B11">
      <w:r w:rsidRPr="003A3B11">
        <w:t>Magnifying God means widening our concern and extending our care by opening our hearts and minds to others, especially to those who are suffering mistreatment, abuse, and injustice. Mary sings of the God who “lifts up the lowly” and “feeds the hungry.” Our songs of praise acknowledge God, and our faith in action seeks to fulfill God’s vision “on earth as it is in heaven.”</w:t>
      </w:r>
    </w:p>
    <w:p w14:paraId="386B26AB" w14:textId="77777777" w:rsidR="003A3B11" w:rsidRPr="003A3B11" w:rsidRDefault="003A3B11" w:rsidP="003A3B11">
      <w:r w:rsidRPr="003A3B11">
        <w:t xml:space="preserve">Therefore, we magnify God when we support immigrants. When we dismantle structural racism and confront white supremacy, we magnify God. When we treat women’s voices and women’s bodies as worthy of respect and agency, we magnify God. We magnify God when we weave our LGBTQ spiritual kin into the fabric of society. When we stand in solidarity with people of every faith, we magnify God. And we magnify God when we steward and preserve the land, seas, and skies. </w:t>
      </w:r>
      <w:hyperlink r:id="rId7" w:anchor="_edn1" w:tgtFrame="_blank" w:history="1">
        <w:r w:rsidRPr="003A3B11">
          <w:rPr>
            <w:rStyle w:val="Hyperlink"/>
          </w:rPr>
          <w:t>[1]</w:t>
        </w:r>
      </w:hyperlink>
    </w:p>
    <w:p w14:paraId="01B7396E" w14:textId="77777777" w:rsidR="003A3B11" w:rsidRPr="003A3B11" w:rsidRDefault="003A3B11" w:rsidP="003A3B11">
      <w:r w:rsidRPr="003A3B11">
        <w:t xml:space="preserve">I want to stress that these are fundamentally </w:t>
      </w:r>
      <w:r w:rsidRPr="003A3B11">
        <w:rPr>
          <w:i/>
          <w:iCs/>
        </w:rPr>
        <w:t>theological</w:t>
      </w:r>
      <w:r w:rsidRPr="003A3B11">
        <w:t xml:space="preserve"> statements. As Christians who believe that God became human, we respond to the world with a broad theology that emphasizes our commitment to the dignity of all people, because our God of grace creates everyone in the divine image. All have sacred worth; all deserve just and equal treatment.</w:t>
      </w:r>
    </w:p>
    <w:p w14:paraId="6D22D320" w14:textId="672C426B" w:rsidR="003A3B11" w:rsidRPr="003A3B11" w:rsidRDefault="003A3B11" w:rsidP="003A3B11">
      <w:r w:rsidRPr="003A3B11">
        <w:t>The alternative is the idol worship of the self and power itself. Mary’s poignant lyric is that the Lord will “scatter the proud in the imagination of their hearts” (Luke 1:51). The Greek word translated as “proud” literally means to “appear” as “over” or “above” other people.</w:t>
      </w:r>
    </w:p>
    <w:p w14:paraId="6C0A6C3C" w14:textId="4D7F754E" w:rsidR="003A3B11" w:rsidRPr="003A3B11" w:rsidRDefault="00AA08DF" w:rsidP="003A3B11">
      <w:r>
        <w:lastRenderedPageBreak/>
        <w:t xml:space="preserve">In contrast to magnifying God, </w:t>
      </w:r>
      <w:r w:rsidR="003A3B11" w:rsidRPr="003A3B11">
        <w:t xml:space="preserve">“appearing over others” arises from "small-thinking" that leads some individuals to believe they are superior to others, rather than envisioning a community of "Abraham's descendants forever." The good news is that the Lord of all creation scatters the proud in the imagination of their hearts. The word “scatter” evokes a sense of leveling, and it can also entail blessing—a sowing or scattering of seeds. </w:t>
      </w:r>
    </w:p>
    <w:p w14:paraId="66E72312" w14:textId="0FFAF357" w:rsidR="003A3B11" w:rsidRPr="003A3B11" w:rsidRDefault="003A3B11" w:rsidP="003A3B11">
      <w:r w:rsidRPr="003A3B11">
        <w:t>Thinking about Mary's claims about the Lord's mercy, we should have compassion on the proud, too; they are "scattered" so that they, too, can be like seeds and become a part of the beloved community. On this Advent Sunday of joy, I am reminded of Jesus' teaching that there is joy in heaven over one proud person who repents.</w:t>
      </w:r>
      <w:r w:rsidR="00953030">
        <w:t xml:space="preserve"> T</w:t>
      </w:r>
      <w:r w:rsidR="00953030" w:rsidRPr="00953030">
        <w:t xml:space="preserve">he spiritual crisis of authoritarianism can only be </w:t>
      </w:r>
      <w:r w:rsidR="00953030">
        <w:t>resolved by</w:t>
      </w:r>
      <w:r w:rsidR="00953030" w:rsidRPr="00953030">
        <w:t xml:space="preserve"> </w:t>
      </w:r>
      <w:r w:rsidR="00953030">
        <w:t xml:space="preserve">the </w:t>
      </w:r>
      <w:r w:rsidR="00953030" w:rsidRPr="00953030">
        <w:t>transformative story in which all of us are invited to th</w:t>
      </w:r>
      <w:r w:rsidR="00953030">
        <w:t>e community of grace.</w:t>
      </w:r>
    </w:p>
    <w:p w14:paraId="4C394B52" w14:textId="77777777" w:rsidR="003A3B11" w:rsidRPr="003A3B11" w:rsidRDefault="003A3B11" w:rsidP="003A3B11">
      <w:r w:rsidRPr="003A3B11">
        <w:t xml:space="preserve">It is a joy this morning to add new members to our growing church, and I wrote the “blessed are” statements in the new member liturgy with all of us in mind. I wrote these statements to contrast with our culture’s beatitudes that prioritize might makes right and power over others. With Mother Mary, people of faith sing a vastly different song: Blessed are the joyful with hope put into action. Blessed are the joyful, who know that they receive not as the world gives but as God gives. Blessed is the joyful community as the extension of God’s mercy that’s “wider than the sea.” </w:t>
      </w:r>
    </w:p>
    <w:p w14:paraId="4D0B6433" w14:textId="7FB17BC9" w:rsidR="003A3B11" w:rsidRPr="003A3B11" w:rsidRDefault="003A3B11" w:rsidP="003A3B11">
      <w:r w:rsidRPr="003A3B11">
        <w:t>I felt this joy this morning, as well as last Friday evening. We hosted the Sirens of Chatham, an all-female choir led by our friend and musician Dawn Landes. It’s the third year in a row that we’ve hosted, and the music only grows better, the sanctuary even more packed.</w:t>
      </w:r>
      <w:r w:rsidR="00B04084">
        <w:t xml:space="preserve"> (</w:t>
      </w:r>
      <w:hyperlink r:id="rId8" w:history="1">
        <w:r w:rsidR="00B04084" w:rsidRPr="00B04084">
          <w:rPr>
            <w:rStyle w:val="Hyperlink"/>
          </w:rPr>
          <w:t>Watch concert here</w:t>
        </w:r>
      </w:hyperlink>
      <w:r w:rsidR="00B04084">
        <w:t>.)</w:t>
      </w:r>
    </w:p>
    <w:p w14:paraId="490FE972" w14:textId="77777777" w:rsidR="003A3B11" w:rsidRPr="003A3B11" w:rsidRDefault="003A3B11" w:rsidP="003A3B11">
      <w:r w:rsidRPr="003A3B11">
        <w:t>The Sirens sang music from around the world, from Siberia to Bulgaria to Spain, in languages including Yiddish, Swahili, and Latin. They played piano, guitar, and accordion. They are professional musicians, teachers, pastors, business leaders, mothers, daughters, sisters, and friends.</w:t>
      </w:r>
    </w:p>
    <w:p w14:paraId="027B89FE" w14:textId="27FD3CF5" w:rsidR="003A3B11" w:rsidRPr="003A3B11" w:rsidRDefault="003A3B11" w:rsidP="003A3B11">
      <w:r w:rsidRPr="003A3B11">
        <w:t xml:space="preserve">The entire performance was deeply moving, including a song with the lyrics, “If you need a world to belong to, look around; you’re already home.” </w:t>
      </w:r>
      <w:hyperlink r:id="rId9" w:anchor="_edn3" w:tgtFrame="_blank" w:history="1">
        <w:r w:rsidRPr="003A3B11">
          <w:rPr>
            <w:rStyle w:val="Hyperlink"/>
          </w:rPr>
          <w:t>[3]</w:t>
        </w:r>
      </w:hyperlink>
      <w:r w:rsidRPr="003A3B11">
        <w:t xml:space="preserve"> I looked around our sanctuary</w:t>
      </w:r>
      <w:r w:rsidR="00B04084">
        <w:t>, so many people I didn’t know,</w:t>
      </w:r>
      <w:r w:rsidRPr="003A3B11">
        <w:t xml:space="preserve"> and sensed how the music was making a world of belonging—a home out of a diverse community </w:t>
      </w:r>
      <w:r w:rsidR="00B04084">
        <w:t xml:space="preserve">spanning </w:t>
      </w:r>
      <w:r w:rsidRPr="003A3B11">
        <w:t>race, gender, religion, and creed.</w:t>
      </w:r>
      <w:r w:rsidR="00C0524B">
        <w:t xml:space="preserve"> The imagined had become real; or, better yet, the real had been </w:t>
      </w:r>
      <w:r w:rsidR="00C0524B" w:rsidRPr="00B04084">
        <w:rPr>
          <w:i/>
          <w:iCs/>
        </w:rPr>
        <w:t>reimagined</w:t>
      </w:r>
      <w:r w:rsidR="00C0524B">
        <w:t xml:space="preserve"> as a place of belonging, a home, a community of grace.</w:t>
      </w:r>
    </w:p>
    <w:p w14:paraId="632045E3" w14:textId="79D9EEEA" w:rsidR="003A3B11" w:rsidRPr="003A3B11" w:rsidRDefault="003A3B11" w:rsidP="003A3B11">
      <w:r w:rsidRPr="003A3B11">
        <w:lastRenderedPageBreak/>
        <w:t xml:space="preserve">I’ve highlighted a couple of Mary's song lyrics, such as magnifying God and scattering the proud, and yet I </w:t>
      </w:r>
      <w:r w:rsidR="00B04084">
        <w:t>close by underlining</w:t>
      </w:r>
      <w:r w:rsidRPr="003A3B11">
        <w:t xml:space="preserve"> the significance that she sang. Like I often experience here in worship, the act of singing can connect us to forces beyond us.</w:t>
      </w:r>
      <w:r w:rsidR="0053206B">
        <w:t xml:space="preserve"> </w:t>
      </w:r>
      <w:r w:rsidRPr="003A3B11">
        <w:t xml:space="preserve">To put it poetically, it’s like this joyful haiku by Changming Yuan. </w:t>
      </w:r>
      <w:hyperlink r:id="rId10" w:anchor="_edn4" w:tgtFrame="_blank" w:history="1">
        <w:r w:rsidRPr="003A3B11">
          <w:rPr>
            <w:rStyle w:val="Hyperlink"/>
          </w:rPr>
          <w:t>[4]</w:t>
        </w:r>
      </w:hyperlink>
    </w:p>
    <w:p w14:paraId="68261417" w14:textId="77777777" w:rsidR="003A3B11" w:rsidRPr="003A3B11" w:rsidRDefault="003A3B11" w:rsidP="0053206B">
      <w:pPr>
        <w:spacing w:after="0"/>
      </w:pPr>
      <w:r w:rsidRPr="003A3B11">
        <w:rPr>
          <w:i/>
          <w:iCs/>
        </w:rPr>
        <w:t>the bird strives to catch</w:t>
      </w:r>
    </w:p>
    <w:p w14:paraId="17DDB583" w14:textId="77777777" w:rsidR="003A3B11" w:rsidRPr="003A3B11" w:rsidRDefault="003A3B11" w:rsidP="0053206B">
      <w:pPr>
        <w:spacing w:after="0"/>
      </w:pPr>
      <w:r w:rsidRPr="003A3B11">
        <w:rPr>
          <w:i/>
          <w:iCs/>
        </w:rPr>
        <w:t>the swirl, but it is so strong</w:t>
      </w:r>
    </w:p>
    <w:p w14:paraId="2F891F6F" w14:textId="77BBC1EB" w:rsidR="003A3B11" w:rsidRPr="003A3B11" w:rsidRDefault="00B04084" w:rsidP="003A3B11">
      <w:r>
        <w:rPr>
          <w:i/>
          <w:iCs/>
        </w:rPr>
        <w:t>the swirl</w:t>
      </w:r>
      <w:r w:rsidR="003A3B11" w:rsidRPr="003A3B11">
        <w:rPr>
          <w:i/>
          <w:iCs/>
        </w:rPr>
        <w:t xml:space="preserve"> catches the bird</w:t>
      </w:r>
    </w:p>
    <w:p w14:paraId="3A87ABAF" w14:textId="791F670D" w:rsidR="003A3B11" w:rsidRDefault="003A3B11" w:rsidP="003A3B11">
      <w:r w:rsidRPr="003A3B11">
        <w:t>Blessed be the swirl, the Spirit. Blessed be the soul caught up in magnifying the name of God, who does great things. Blessed be everyone who sings and, looking around, finds that they are already home.</w:t>
      </w:r>
    </w:p>
    <w:p w14:paraId="2A0D7F69" w14:textId="68E2A808" w:rsidR="00596BDD" w:rsidRDefault="00596BDD" w:rsidP="003A3B11">
      <w:r>
        <w:t>Andrew Taylor-Troutman</w:t>
      </w:r>
    </w:p>
    <w:p w14:paraId="12BDF35D" w14:textId="5089992B" w:rsidR="00596BDD" w:rsidRPr="003A3B11" w:rsidRDefault="00596BDD" w:rsidP="003A3B11">
      <w:r>
        <w:t>December 14, 2025</w:t>
      </w:r>
    </w:p>
    <w:p w14:paraId="01D2218F" w14:textId="77777777" w:rsidR="003A3B11" w:rsidRPr="003A3B11" w:rsidRDefault="003A3B11" w:rsidP="003A3B11"/>
    <w:p w14:paraId="755E1B46" w14:textId="77777777" w:rsidR="003A3B11" w:rsidRPr="003A3B11" w:rsidRDefault="003A3B11" w:rsidP="003A3B11">
      <w:hyperlink r:id="rId11" w:anchor="_ednref1" w:tgtFrame="_blank" w:history="1">
        <w:r w:rsidRPr="003A3B11">
          <w:rPr>
            <w:rStyle w:val="Hyperlink"/>
          </w:rPr>
          <w:t>[1]</w:t>
        </w:r>
      </w:hyperlink>
      <w:r w:rsidRPr="003A3B11">
        <w:t xml:space="preserve"> This paragraph is informed by a theological statement endorsed by the session at First Presbyterian Church in Durham, North Carolina. Thanks to Rev. Dr. Mindy Douglas for sharing.</w:t>
      </w:r>
    </w:p>
    <w:p w14:paraId="364952B4" w14:textId="77777777" w:rsidR="003A3B11" w:rsidRPr="003A3B11" w:rsidRDefault="003A3B11" w:rsidP="003A3B11">
      <w:hyperlink r:id="rId12" w:anchor="_ednref2" w:tgtFrame="_blank" w:history="1">
        <w:r w:rsidRPr="003A3B11">
          <w:rPr>
            <w:rStyle w:val="Hyperlink"/>
          </w:rPr>
          <w:t>[2]</w:t>
        </w:r>
      </w:hyperlink>
      <w:r w:rsidRPr="003A3B11">
        <w:t xml:space="preserve"> Point made by Dr. Douglas Ottati, “This political movement demands theology” (</w:t>
      </w:r>
      <w:r w:rsidRPr="003A3B11">
        <w:rPr>
          <w:i/>
          <w:iCs/>
        </w:rPr>
        <w:t xml:space="preserve">Christian Century, </w:t>
      </w:r>
      <w:r w:rsidRPr="003A3B11">
        <w:t>December 9, 2025).</w:t>
      </w:r>
    </w:p>
    <w:p w14:paraId="35F6A120" w14:textId="77777777" w:rsidR="003A3B11" w:rsidRPr="003A3B11" w:rsidRDefault="003A3B11" w:rsidP="003A3B11">
      <w:hyperlink r:id="rId13" w:anchor="_ednref3" w:tgtFrame="_blank" w:history="1">
        <w:r w:rsidRPr="003A3B11">
          <w:rPr>
            <w:rStyle w:val="Hyperlink"/>
          </w:rPr>
          <w:t>[3]</w:t>
        </w:r>
      </w:hyperlink>
      <w:r w:rsidRPr="003A3B11">
        <w:t xml:space="preserve"> “Turn” by the October Project.</w:t>
      </w:r>
    </w:p>
    <w:p w14:paraId="2A95FD59" w14:textId="63487455" w:rsidR="006F550C" w:rsidRDefault="003A3B11" w:rsidP="003A3B11">
      <w:pPr>
        <w:rPr>
          <w:i/>
          <w:iCs/>
        </w:rPr>
      </w:pPr>
      <w:hyperlink r:id="rId14" w:anchor="_ednref4" w:tgtFrame="_blank" w:history="1">
        <w:r w:rsidRPr="003A3B11">
          <w:rPr>
            <w:rStyle w:val="Hyperlink"/>
          </w:rPr>
          <w:t>[4]</w:t>
        </w:r>
      </w:hyperlink>
      <w:r w:rsidRPr="003A3B11">
        <w:t xml:space="preserve"> Found in the poetry journal </w:t>
      </w:r>
      <w:r w:rsidRPr="003A3B11">
        <w:rPr>
          <w:i/>
          <w:iCs/>
        </w:rPr>
        <w:t>Time of Singing.</w:t>
      </w:r>
    </w:p>
    <w:p w14:paraId="777F1A70" w14:textId="77777777" w:rsidR="003933D4" w:rsidRDefault="003933D4" w:rsidP="003A3B11">
      <w:pPr>
        <w:rPr>
          <w:i/>
          <w:iCs/>
        </w:rPr>
      </w:pPr>
    </w:p>
    <w:p w14:paraId="6A3A435A" w14:textId="77777777" w:rsidR="007A3BDF" w:rsidRDefault="007A3BDF">
      <w:pPr>
        <w:spacing w:line="278" w:lineRule="auto"/>
      </w:pPr>
      <w:r>
        <w:br w:type="page"/>
      </w:r>
    </w:p>
    <w:p w14:paraId="70ED204B" w14:textId="55319552" w:rsidR="003933D4" w:rsidRDefault="003933D4" w:rsidP="003A3B11">
      <w:r>
        <w:lastRenderedPageBreak/>
        <w:t>Watchwords</w:t>
      </w:r>
    </w:p>
    <w:p w14:paraId="1C0D0F1E" w14:textId="14361333" w:rsidR="003933D4" w:rsidRDefault="00EA1088" w:rsidP="003A3B11">
      <w:r>
        <w:t xml:space="preserve">Carl and Beth: </w:t>
      </w:r>
      <w:r w:rsidR="003933D4" w:rsidRPr="003933D4">
        <w:t>Proclaim the message; be persisten</w:t>
      </w:r>
      <w:r w:rsidR="003933D4">
        <w:t>t …</w:t>
      </w:r>
      <w:r w:rsidR="003933D4" w:rsidRPr="003933D4">
        <w:t xml:space="preserve"> with the utmost patience in teaching. 2 Timothy 4:2</w:t>
      </w:r>
    </w:p>
    <w:p w14:paraId="7BDB37E0" w14:textId="33568919" w:rsidR="003933D4" w:rsidRDefault="00EA1088" w:rsidP="003A3B11">
      <w:r>
        <w:t xml:space="preserve">Dan and Jo Ann: </w:t>
      </w:r>
      <w:r w:rsidR="003933D4" w:rsidRPr="003933D4">
        <w:t>Is anything too wonderful for the Lord? Genesis 18:14</w:t>
      </w:r>
    </w:p>
    <w:p w14:paraId="40FD4824" w14:textId="1C43618E" w:rsidR="00BE7C90" w:rsidRDefault="00EA1088" w:rsidP="003A3B11">
      <w:r>
        <w:t xml:space="preserve">Chuck and Penny: </w:t>
      </w:r>
      <w:r w:rsidR="00BE7C90" w:rsidRPr="00BE7C90">
        <w:t>Blessed are those who trust in the Lord, whose trust is the Lord. Jeremiah 17:7</w:t>
      </w:r>
    </w:p>
    <w:p w14:paraId="70ABCB5C" w14:textId="4D9D4C68" w:rsidR="00EA1088" w:rsidRDefault="00EA1088" w:rsidP="003A3B11">
      <w:r>
        <w:t xml:space="preserve">Barbara: </w:t>
      </w:r>
      <w:r w:rsidRPr="00EA1088">
        <w:t>The Lord will fulfill his purpose for me; your steadfast love, O Lord, endures forever. Psalm 138:8</w:t>
      </w:r>
    </w:p>
    <w:p w14:paraId="48B14424" w14:textId="77777777" w:rsidR="007A3BDF" w:rsidRDefault="007A3BDF" w:rsidP="003A3B11"/>
    <w:p w14:paraId="7E8EF7C8" w14:textId="77777777" w:rsidR="007A3BDF" w:rsidRDefault="007A3BDF" w:rsidP="003A3B11">
      <w:r>
        <w:t xml:space="preserve">Gracious God, </w:t>
      </w:r>
      <w:r w:rsidRPr="007A3BDF">
        <w:t>You called Mary and Moses, Jeremiah and Peter. You have called</w:t>
      </w:r>
      <w:r>
        <w:t xml:space="preserve"> </w:t>
      </w:r>
      <w:r w:rsidRPr="007A3BDF">
        <w:t>people throughout all of time. You have called artists and activists, poets and prophets, teachers and healers—young and old alike.</w:t>
      </w:r>
      <w:r>
        <w:t xml:space="preserve"> We thank you for the call that you have placed upon our new members. We thank you for their gifts and graces, their light and love.</w:t>
      </w:r>
    </w:p>
    <w:p w14:paraId="5774CFDD" w14:textId="501978D2" w:rsidR="007A3BDF" w:rsidRPr="003933D4" w:rsidRDefault="007A3BDF" w:rsidP="003A3B11">
      <w:r>
        <w:t>A</w:t>
      </w:r>
      <w:r w:rsidRPr="007A3BDF">
        <w:t xml:space="preserve">s we move through this world, open our ears to hear your voice. As we move through this world, open our hearts to the invitations, the inspiration, and the nudges you place in our lives. </w:t>
      </w:r>
      <w:r>
        <w:t>W</w:t>
      </w:r>
      <w:r w:rsidRPr="007A3BDF">
        <w:t>e trust that you are a calling, inviting, nudging, inspiring God who sees us in the best light</w:t>
      </w:r>
      <w:r>
        <w:t xml:space="preserve"> and is with us, now and forever. </w:t>
      </w:r>
    </w:p>
    <w:sectPr w:rsidR="007A3BDF" w:rsidRPr="003933D4" w:rsidSect="006C61A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B546" w14:textId="77777777" w:rsidR="00821F9E" w:rsidRDefault="00821F9E" w:rsidP="006C61AC">
      <w:pPr>
        <w:spacing w:after="0" w:line="240" w:lineRule="auto"/>
      </w:pPr>
      <w:r>
        <w:separator/>
      </w:r>
    </w:p>
  </w:endnote>
  <w:endnote w:type="continuationSeparator" w:id="0">
    <w:p w14:paraId="2E74B627" w14:textId="77777777" w:rsidR="00821F9E" w:rsidRDefault="00821F9E" w:rsidP="006C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6937" w14:textId="77777777" w:rsidR="00821F9E" w:rsidRDefault="00821F9E" w:rsidP="006C61AC">
      <w:pPr>
        <w:spacing w:after="0" w:line="240" w:lineRule="auto"/>
      </w:pPr>
      <w:r>
        <w:separator/>
      </w:r>
    </w:p>
  </w:footnote>
  <w:footnote w:type="continuationSeparator" w:id="0">
    <w:p w14:paraId="77ADAD2E" w14:textId="77777777" w:rsidR="00821F9E" w:rsidRDefault="00821F9E" w:rsidP="006C61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AC"/>
    <w:rsid w:val="00045C79"/>
    <w:rsid w:val="00072A88"/>
    <w:rsid w:val="000763BD"/>
    <w:rsid w:val="000B2FE5"/>
    <w:rsid w:val="001064AC"/>
    <w:rsid w:val="00121983"/>
    <w:rsid w:val="00144D52"/>
    <w:rsid w:val="001464A1"/>
    <w:rsid w:val="0016292A"/>
    <w:rsid w:val="001F7E71"/>
    <w:rsid w:val="00235293"/>
    <w:rsid w:val="0024656E"/>
    <w:rsid w:val="00292C67"/>
    <w:rsid w:val="002B0521"/>
    <w:rsid w:val="00323214"/>
    <w:rsid w:val="00332FEF"/>
    <w:rsid w:val="00372486"/>
    <w:rsid w:val="00380C70"/>
    <w:rsid w:val="003877E9"/>
    <w:rsid w:val="003933D4"/>
    <w:rsid w:val="00395C75"/>
    <w:rsid w:val="003A3B11"/>
    <w:rsid w:val="003C41F0"/>
    <w:rsid w:val="003E4072"/>
    <w:rsid w:val="003E6ED6"/>
    <w:rsid w:val="003E6EFE"/>
    <w:rsid w:val="003F6E5B"/>
    <w:rsid w:val="004710D5"/>
    <w:rsid w:val="004E1A53"/>
    <w:rsid w:val="0053206B"/>
    <w:rsid w:val="00596BDD"/>
    <w:rsid w:val="005B119F"/>
    <w:rsid w:val="005E73D0"/>
    <w:rsid w:val="00620B75"/>
    <w:rsid w:val="00635CCA"/>
    <w:rsid w:val="00665EAA"/>
    <w:rsid w:val="00675ED2"/>
    <w:rsid w:val="006830A1"/>
    <w:rsid w:val="00694AD9"/>
    <w:rsid w:val="006C61AC"/>
    <w:rsid w:val="006F550C"/>
    <w:rsid w:val="0072564B"/>
    <w:rsid w:val="00756918"/>
    <w:rsid w:val="00763361"/>
    <w:rsid w:val="0078427D"/>
    <w:rsid w:val="007A3BDF"/>
    <w:rsid w:val="007A6EBE"/>
    <w:rsid w:val="007D4F56"/>
    <w:rsid w:val="007D502D"/>
    <w:rsid w:val="00821F9E"/>
    <w:rsid w:val="008436C6"/>
    <w:rsid w:val="00865A0C"/>
    <w:rsid w:val="008920F1"/>
    <w:rsid w:val="008A7140"/>
    <w:rsid w:val="00915AC4"/>
    <w:rsid w:val="00920017"/>
    <w:rsid w:val="0094505B"/>
    <w:rsid w:val="00953030"/>
    <w:rsid w:val="0098348A"/>
    <w:rsid w:val="009C43DC"/>
    <w:rsid w:val="009D5446"/>
    <w:rsid w:val="00A10383"/>
    <w:rsid w:val="00A37282"/>
    <w:rsid w:val="00A5191D"/>
    <w:rsid w:val="00A639E5"/>
    <w:rsid w:val="00A643BA"/>
    <w:rsid w:val="00AA08DF"/>
    <w:rsid w:val="00AE240F"/>
    <w:rsid w:val="00B04084"/>
    <w:rsid w:val="00B22DDA"/>
    <w:rsid w:val="00B35BB4"/>
    <w:rsid w:val="00B43EAC"/>
    <w:rsid w:val="00B641B1"/>
    <w:rsid w:val="00BB61AA"/>
    <w:rsid w:val="00BE7C90"/>
    <w:rsid w:val="00C0524B"/>
    <w:rsid w:val="00C77B74"/>
    <w:rsid w:val="00C84364"/>
    <w:rsid w:val="00CB693F"/>
    <w:rsid w:val="00CD11E9"/>
    <w:rsid w:val="00CE51AC"/>
    <w:rsid w:val="00CF7FC3"/>
    <w:rsid w:val="00D2600F"/>
    <w:rsid w:val="00D91C28"/>
    <w:rsid w:val="00DC38F7"/>
    <w:rsid w:val="00DC4F37"/>
    <w:rsid w:val="00DD19D5"/>
    <w:rsid w:val="00E429DA"/>
    <w:rsid w:val="00E4423C"/>
    <w:rsid w:val="00E63277"/>
    <w:rsid w:val="00EA1088"/>
    <w:rsid w:val="00EB3D40"/>
    <w:rsid w:val="00EC6EBB"/>
    <w:rsid w:val="00ED60EC"/>
    <w:rsid w:val="00F64D3B"/>
    <w:rsid w:val="00F96D50"/>
    <w:rsid w:val="00FB0749"/>
    <w:rsid w:val="00FB41F1"/>
    <w:rsid w:val="00FB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6790"/>
  <w15:chartTrackingRefBased/>
  <w15:docId w15:val="{8A50CC61-5772-4D5F-B7DE-14F7CC90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1AC"/>
    <w:pPr>
      <w:spacing w:line="259" w:lineRule="auto"/>
    </w:pPr>
    <w:rPr>
      <w:rFonts w:ascii="Times New Roman" w:hAnsi="Times New Roman"/>
      <w:sz w:val="28"/>
      <w:szCs w:val="28"/>
    </w:rPr>
  </w:style>
  <w:style w:type="paragraph" w:styleId="Heading1">
    <w:name w:val="heading 1"/>
    <w:basedOn w:val="Normal"/>
    <w:next w:val="Normal"/>
    <w:link w:val="Heading1Char"/>
    <w:uiPriority w:val="9"/>
    <w:qFormat/>
    <w:rsid w:val="006C61A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61A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61AC"/>
    <w:pPr>
      <w:keepNext/>
      <w:keepLines/>
      <w:spacing w:before="160" w:after="80" w:line="278" w:lineRule="auto"/>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6C61AC"/>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C61AC"/>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C61A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C61A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C61A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C61A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1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1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1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1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61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6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1AC"/>
    <w:rPr>
      <w:rFonts w:eastAsiaTheme="majorEastAsia" w:cstheme="majorBidi"/>
      <w:color w:val="272727" w:themeColor="text1" w:themeTint="D8"/>
    </w:rPr>
  </w:style>
  <w:style w:type="paragraph" w:styleId="Title">
    <w:name w:val="Title"/>
    <w:basedOn w:val="Normal"/>
    <w:next w:val="Normal"/>
    <w:link w:val="TitleChar"/>
    <w:uiPriority w:val="10"/>
    <w:qFormat/>
    <w:rsid w:val="006C6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1AC"/>
    <w:pPr>
      <w:numPr>
        <w:ilvl w:val="1"/>
      </w:numPr>
      <w:spacing w:line="278"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C6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1A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6C61AC"/>
    <w:rPr>
      <w:i/>
      <w:iCs/>
      <w:color w:val="404040" w:themeColor="text1" w:themeTint="BF"/>
    </w:rPr>
  </w:style>
  <w:style w:type="paragraph" w:styleId="ListParagraph">
    <w:name w:val="List Paragraph"/>
    <w:basedOn w:val="Normal"/>
    <w:uiPriority w:val="34"/>
    <w:qFormat/>
    <w:rsid w:val="006C61A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6C61AC"/>
    <w:rPr>
      <w:i/>
      <w:iCs/>
      <w:color w:val="2F5496" w:themeColor="accent1" w:themeShade="BF"/>
    </w:rPr>
  </w:style>
  <w:style w:type="paragraph" w:styleId="IntenseQuote">
    <w:name w:val="Intense Quote"/>
    <w:basedOn w:val="Normal"/>
    <w:next w:val="Normal"/>
    <w:link w:val="IntenseQuoteChar"/>
    <w:uiPriority w:val="30"/>
    <w:qFormat/>
    <w:rsid w:val="006C61A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sz w:val="24"/>
      <w:szCs w:val="24"/>
    </w:rPr>
  </w:style>
  <w:style w:type="character" w:customStyle="1" w:styleId="IntenseQuoteChar">
    <w:name w:val="Intense Quote Char"/>
    <w:basedOn w:val="DefaultParagraphFont"/>
    <w:link w:val="IntenseQuote"/>
    <w:uiPriority w:val="30"/>
    <w:rsid w:val="006C61AC"/>
    <w:rPr>
      <w:i/>
      <w:iCs/>
      <w:color w:val="2F5496" w:themeColor="accent1" w:themeShade="BF"/>
    </w:rPr>
  </w:style>
  <w:style w:type="character" w:styleId="IntenseReference">
    <w:name w:val="Intense Reference"/>
    <w:basedOn w:val="DefaultParagraphFont"/>
    <w:uiPriority w:val="32"/>
    <w:qFormat/>
    <w:rsid w:val="006C61AC"/>
    <w:rPr>
      <w:b/>
      <w:bCs/>
      <w:smallCaps/>
      <w:color w:val="2F5496" w:themeColor="accent1" w:themeShade="BF"/>
      <w:spacing w:val="5"/>
    </w:rPr>
  </w:style>
  <w:style w:type="paragraph" w:styleId="EndnoteText">
    <w:name w:val="endnote text"/>
    <w:basedOn w:val="Normal"/>
    <w:link w:val="EndnoteTextChar"/>
    <w:uiPriority w:val="99"/>
    <w:semiHidden/>
    <w:unhideWhenUsed/>
    <w:rsid w:val="006C61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61AC"/>
    <w:rPr>
      <w:rFonts w:ascii="Times New Roman" w:hAnsi="Times New Roman"/>
      <w:sz w:val="20"/>
      <w:szCs w:val="20"/>
    </w:rPr>
  </w:style>
  <w:style w:type="character" w:styleId="EndnoteReference">
    <w:name w:val="endnote reference"/>
    <w:basedOn w:val="DefaultParagraphFont"/>
    <w:uiPriority w:val="99"/>
    <w:semiHidden/>
    <w:unhideWhenUsed/>
    <w:rsid w:val="006C61AC"/>
    <w:rPr>
      <w:vertAlign w:val="superscript"/>
    </w:rPr>
  </w:style>
  <w:style w:type="character" w:styleId="Hyperlink">
    <w:name w:val="Hyperlink"/>
    <w:basedOn w:val="DefaultParagraphFont"/>
    <w:uiPriority w:val="99"/>
    <w:unhideWhenUsed/>
    <w:rsid w:val="006C61AC"/>
    <w:rPr>
      <w:color w:val="0563C1" w:themeColor="hyperlink"/>
      <w:u w:val="single"/>
    </w:rPr>
  </w:style>
  <w:style w:type="character" w:styleId="UnresolvedMention">
    <w:name w:val="Unresolved Mention"/>
    <w:basedOn w:val="DefaultParagraphFont"/>
    <w:uiPriority w:val="99"/>
    <w:semiHidden/>
    <w:unhideWhenUsed/>
    <w:rsid w:val="005E7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tDFF7aTczk&amp;t=3707s" TargetMode="External"/><Relationship Id="rId13" Type="http://schemas.openxmlformats.org/officeDocument/2006/relationships/hyperlink" Target="file:///C:\Users\andre\Desktop\2025%20Sermons\Dec%2014%20sermon%20draft%202.docx" TargetMode="External"/><Relationship Id="rId3" Type="http://schemas.openxmlformats.org/officeDocument/2006/relationships/settings" Target="settings.xml"/><Relationship Id="rId7" Type="http://schemas.openxmlformats.org/officeDocument/2006/relationships/hyperlink" Target="file:///C:\Users\andre\Desktop\2025%20Sermons\Dec%2014%20sermon%20draft%202.docx" TargetMode="External"/><Relationship Id="rId12" Type="http://schemas.openxmlformats.org/officeDocument/2006/relationships/hyperlink" Target="file:///C:\Users\andre\Desktop\2025%20Sermons\Dec%2014%20sermon%20draft%202.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andre\Desktop\2025%20Sermons\Dec%2014%20sermon%20draft%202.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andre\Desktop\2025%20Sermons\Dec%2014%20sermon%20draft%202.docx" TargetMode="External"/><Relationship Id="rId4" Type="http://schemas.openxmlformats.org/officeDocument/2006/relationships/webSettings" Target="webSettings.xml"/><Relationship Id="rId9" Type="http://schemas.openxmlformats.org/officeDocument/2006/relationships/hyperlink" Target="file:///C:\Users\andre\Desktop\2025%20Sermons\Dec%2014%20sermon%20draft%202.docx" TargetMode="External"/><Relationship Id="rId14" Type="http://schemas.openxmlformats.org/officeDocument/2006/relationships/hyperlink" Target="file:///C:\Users\andre\Desktop\2025%20Sermons\Dec%2014%20sermon%20draft%2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31C31-756B-43F0-A8BE-0A0DC2CD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4</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78</cp:revision>
  <cp:lastPrinted>2025-12-14T14:07:00Z</cp:lastPrinted>
  <dcterms:created xsi:type="dcterms:W3CDTF">2025-12-12T01:49:00Z</dcterms:created>
  <dcterms:modified xsi:type="dcterms:W3CDTF">2025-12-14T21:06:00Z</dcterms:modified>
</cp:coreProperties>
</file>